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</w:rPr>
        <w:id w:val="828408757"/>
        <w:docPartObj>
          <w:docPartGallery w:val="Cover Pages"/>
          <w:docPartUnique/>
        </w:docPartObj>
      </w:sdtPr>
      <w:sdtEndPr>
        <w:rPr>
          <w:color w:val="000000"/>
        </w:rPr>
      </w:sdtEndPr>
      <w:sdtContent>
        <w:p w14:paraId="4BD72356" w14:textId="77777777" w:rsidR="008E4412" w:rsidRPr="00035BAF" w:rsidRDefault="00773C83" w:rsidP="00773C83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color w:val="A6D96E" w:themeColor="accent5"/>
            </w:rPr>
            <w:drawing>
              <wp:inline distT="0" distB="0" distL="0" distR="0" wp14:anchorId="40F12E14" wp14:editId="7F8193F9">
                <wp:extent cx="3134115" cy="11049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ODAS Logo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2715" cy="1157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E4412" w:rsidRPr="00035BAF">
            <w:rPr>
              <w:rFonts w:ascii="Times New Roman" w:hAnsi="Times New Roman"/>
              <w:noProof/>
              <w:color w:val="A6D96E" w:themeColor="accent5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916A813" wp14:editId="653ABB0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D121467" w14:textId="77777777" w:rsidR="00AB2618" w:rsidRPr="008E4412" w:rsidRDefault="0066459C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Division of Prevention and Intervention Services</w:t>
                                      </w:r>
                                    </w:p>
                                  </w:sdtContent>
                                </w:sdt>
                                <w:p w14:paraId="79A57ECB" w14:textId="77777777" w:rsidR="00AB2618" w:rsidRDefault="006D604E" w:rsidP="008E4412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B2618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SC DAODAS</w:t>
                                      </w:r>
                                    </w:sdtContent>
                                  </w:sdt>
                                  <w:r w:rsidR="00AB2618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AB2618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1801 Main Street, 4th Floor, Columbia SC 29201</w:t>
                                      </w:r>
                                    </w:sdtContent>
                                  </w:sdt>
                                  <w:r w:rsidR="00AB2618" w:rsidRPr="008E4412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5CFE279B" w14:textId="77777777" w:rsidR="00AB2618" w:rsidRDefault="00AB2618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15B8C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5A4F6A1" w14:textId="77777777" w:rsidR="00AB2618" w:rsidRPr="00773C83" w:rsidRDefault="00773C83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 xml:space="preserve">FY 2021 Prevention SOR 2 </w:t>
                                      </w:r>
                                      <w:r w:rsidR="00196DDB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Year</w:t>
                                      </w:r>
                                      <w:r w:rsidR="00AB2618"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-</w:t>
                                      </w:r>
                                      <w:r w:rsidR="00196DDB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 xml:space="preserve">End </w:t>
                                      </w:r>
                                      <w:r w:rsidR="00AB2618"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R</w:t>
                                      </w:r>
                                      <w:r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eport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015B8C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4963B41" w14:textId="77777777" w:rsidR="00AB2618" w:rsidRPr="00773C83" w:rsidRDefault="00F60CA6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ABC Behavioral Health Center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196DDB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Final Report,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December </w:t>
                                      </w:r>
                                      <w:r w:rsidR="00AB2618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, 2020 to </w:t>
                                      </w:r>
                                      <w:r w:rsidR="00196DDB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September </w:t>
                                      </w:r>
                                      <w:r w:rsidR="00E142C7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17</w:t>
                                      </w:r>
                                      <w:r w:rsidR="00196DDB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,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916A813" id="Group 119" o:spid="_x0000_s1026" style="position:absolute;left:0;text-align:left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015b8c [3204]" stroked="f" strokeweight="2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" fillcolor="#015b8c [3204]" stroked="f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D121467" w14:textId="77777777" w:rsidR="00AB2618" w:rsidRPr="008E4412" w:rsidRDefault="0066459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Division of Prevention and Intervention Services</w:t>
                                </w:r>
                              </w:p>
                            </w:sdtContent>
                          </w:sdt>
                          <w:p w14:paraId="79A57ECB" w14:textId="77777777" w:rsidR="00AB2618" w:rsidRDefault="006D604E" w:rsidP="008E4412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B2618">
                                  <w:rPr>
                                    <w:caps/>
                                    <w:color w:val="FFFFFF" w:themeColor="background1"/>
                                  </w:rPr>
                                  <w:t>SC DAODAS</w:t>
                                </w:r>
                              </w:sdtContent>
                            </w:sdt>
                            <w:r w:rsidR="00AB2618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B2618">
                                  <w:rPr>
                                    <w:caps/>
                                    <w:color w:val="FFFFFF" w:themeColor="background1"/>
                                  </w:rPr>
                                  <w:t>1801 Main Street, 4th Floor, Columbia SC 29201</w:t>
                                </w:r>
                              </w:sdtContent>
                            </w:sdt>
                            <w:r w:rsidR="00AB2618" w:rsidRPr="008E441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FE279B" w14:textId="77777777" w:rsidR="00AB2618" w:rsidRDefault="00AB2618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15B8C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5A4F6A1" w14:textId="77777777" w:rsidR="00AB2618" w:rsidRPr="00773C83" w:rsidRDefault="00773C83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</w:pPr>
                                <w:r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 xml:space="preserve">FY 2021 Prevention SOR 2 </w:t>
                                </w:r>
                                <w:r w:rsidR="00196DDB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Year</w:t>
                                </w:r>
                                <w:r w:rsidR="00AB2618"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-</w:t>
                                </w:r>
                                <w:r w:rsidR="00196DDB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 xml:space="preserve">End </w:t>
                                </w:r>
                                <w:r w:rsidR="00AB2618"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R</w:t>
                                </w:r>
                                <w:r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eport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015B8C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4963B41" w14:textId="77777777" w:rsidR="00AB2618" w:rsidRPr="00773C83" w:rsidRDefault="00F60CA6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</w:pPr>
                                <w:r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ABC Behavioral Health Center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196DDB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Final Report,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December </w:t>
                                </w:r>
                                <w:r w:rsidR="00AB2618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, 2020 to </w:t>
                                </w:r>
                                <w:r w:rsidR="00196DDB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September </w:t>
                                </w:r>
                                <w:r w:rsidR="00E142C7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17</w:t>
                                </w:r>
                                <w:r w:rsidR="00196DDB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773670C" w14:textId="77777777" w:rsidR="008E4412" w:rsidRPr="00035BAF" w:rsidRDefault="008E4412">
          <w:pPr>
            <w:spacing w:after="200" w:line="276" w:lineRule="auto"/>
            <w:rPr>
              <w:rFonts w:ascii="Times New Roman" w:hAnsi="Times New Roman"/>
              <w:color w:val="000000"/>
            </w:rPr>
          </w:pPr>
          <w:r w:rsidRPr="00035BAF">
            <w:rPr>
              <w:rFonts w:ascii="Times New Roman" w:hAnsi="Times New Roman"/>
              <w:color w:val="000000"/>
            </w:rPr>
            <w:br w:type="page"/>
          </w:r>
        </w:p>
      </w:sdtContent>
    </w:sdt>
    <w:p w14:paraId="4144F1CE" w14:textId="77777777" w:rsidR="006E77D7" w:rsidRPr="0066459C" w:rsidRDefault="006E77D7" w:rsidP="006E77D7">
      <w:pP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</w:pPr>
      <w:r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lastRenderedPageBreak/>
        <w:t>S</w:t>
      </w:r>
      <w:r w:rsidR="00773C83"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>trateg</w:t>
      </w:r>
      <w:r w:rsidR="00254DB8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>y</w:t>
      </w:r>
      <w:r w:rsidR="00773C83"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 xml:space="preserve"> Implementation</w:t>
      </w:r>
    </w:p>
    <w:p w14:paraId="0CFD3964" w14:textId="77777777" w:rsidR="006E77D7" w:rsidRPr="00D732D6" w:rsidRDefault="00865D21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65D21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</w:t>
      </w: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="00AF7E3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In the table below, p</w:t>
      </w:r>
      <w:r w:rsidR="00773C83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lease list each Prevention SOR 2 strategy implemented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throughout the grant period, December 1, 2020 to September 17, 2021.</w:t>
      </w:r>
      <w:r w:rsidR="00AF7E3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Also identify the population of focus and total number of people reached per strategy.</w:t>
      </w:r>
    </w:p>
    <w:p w14:paraId="698F64BA" w14:textId="77777777" w:rsidR="00773C83" w:rsidRDefault="00773C83" w:rsidP="00773C83">
      <w:pPr>
        <w:rPr>
          <w:rFonts w:ascii="Times New Roman" w:eastAsia="Times New Roman" w:hAnsi="Times New Roman"/>
          <w:b/>
          <w:bCs/>
          <w:i/>
          <w:iCs/>
          <w:color w:val="00838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2250"/>
        <w:gridCol w:w="1890"/>
      </w:tblGrid>
      <w:tr w:rsidR="00697A55" w:rsidRPr="000C3F29" w14:paraId="6EC14CCE" w14:textId="77777777" w:rsidTr="00E45A73">
        <w:tc>
          <w:tcPr>
            <w:tcW w:w="2155" w:type="dxa"/>
          </w:tcPr>
          <w:p w14:paraId="3D1824A3" w14:textId="77777777" w:rsidR="00697A55" w:rsidRPr="000C3F29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0C3F29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Strategy</w:t>
            </w:r>
          </w:p>
        </w:tc>
        <w:tc>
          <w:tcPr>
            <w:tcW w:w="2790" w:type="dxa"/>
          </w:tcPr>
          <w:p w14:paraId="62425EB9" w14:textId="77777777" w:rsidR="00697A55" w:rsidRPr="000C3F29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0C3F29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Specific Strategy Type Implemented</w:t>
            </w:r>
          </w:p>
        </w:tc>
        <w:tc>
          <w:tcPr>
            <w:tcW w:w="2250" w:type="dxa"/>
          </w:tcPr>
          <w:p w14:paraId="2738D36C" w14:textId="77777777" w:rsidR="00697A55" w:rsidRPr="000C3F29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0C3F29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Population</w:t>
            </w:r>
          </w:p>
        </w:tc>
        <w:tc>
          <w:tcPr>
            <w:tcW w:w="1890" w:type="dxa"/>
          </w:tcPr>
          <w:p w14:paraId="4A13A582" w14:textId="77777777" w:rsidR="00697A55" w:rsidRPr="008E7818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8E7818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 xml:space="preserve">Total Number </w:t>
            </w:r>
            <w:r w:rsidR="00E45A73" w:rsidRPr="008E7818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People</w:t>
            </w:r>
            <w:r w:rsidRPr="008E7818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 xml:space="preserve"> Reached</w:t>
            </w:r>
          </w:p>
        </w:tc>
      </w:tr>
      <w:tr w:rsidR="00697A55" w:rsidRPr="000C3F29" w14:paraId="3A3FD453" w14:textId="77777777" w:rsidTr="00E45A73">
        <w:tc>
          <w:tcPr>
            <w:tcW w:w="2155" w:type="dxa"/>
          </w:tcPr>
          <w:p w14:paraId="08AC8036" w14:textId="1B73B9F2" w:rsidR="00697A55" w:rsidRPr="000C3F29" w:rsidRDefault="00722BD6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>Data Needs and Assessment</w:t>
            </w:r>
          </w:p>
        </w:tc>
        <w:tc>
          <w:tcPr>
            <w:tcW w:w="2790" w:type="dxa"/>
          </w:tcPr>
          <w:p w14:paraId="5CBF5761" w14:textId="2E56109B" w:rsidR="00697A55" w:rsidRPr="000C3F29" w:rsidRDefault="00722BD6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>Scan/mapping of opioid and stimulant drug issues and resources available in the community</w:t>
            </w:r>
            <w:r w:rsidR="005E57E1"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3388142F" w14:textId="0103AEFF" w:rsidR="00697A55" w:rsidRPr="000C3F29" w:rsidRDefault="005E57E1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General Population </w:t>
            </w:r>
          </w:p>
        </w:tc>
        <w:tc>
          <w:tcPr>
            <w:tcW w:w="1890" w:type="dxa"/>
          </w:tcPr>
          <w:p w14:paraId="067B10CA" w14:textId="1E33609D" w:rsidR="00697A55" w:rsidRPr="008E7818" w:rsidRDefault="005E57E1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>63,661</w:t>
            </w:r>
          </w:p>
        </w:tc>
      </w:tr>
      <w:tr w:rsidR="00697A55" w:rsidRPr="000C3F29" w14:paraId="4890755D" w14:textId="77777777" w:rsidTr="00E45A73">
        <w:tc>
          <w:tcPr>
            <w:tcW w:w="2155" w:type="dxa"/>
          </w:tcPr>
          <w:p w14:paraId="3DC13DCF" w14:textId="1CE9BC51" w:rsidR="00697A55" w:rsidRPr="000C3F29" w:rsidRDefault="00722BD6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Education and Awareness </w:t>
            </w:r>
          </w:p>
        </w:tc>
        <w:tc>
          <w:tcPr>
            <w:tcW w:w="2790" w:type="dxa"/>
          </w:tcPr>
          <w:p w14:paraId="396CF6E1" w14:textId="6C52720A" w:rsidR="00697A55" w:rsidRPr="000C3F29" w:rsidRDefault="005E57E1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>Opioid and stimulant stigma reduction to promote messages that clarify opioid use disorder are diseases and not moral failures or weaknesses</w:t>
            </w:r>
          </w:p>
        </w:tc>
        <w:tc>
          <w:tcPr>
            <w:tcW w:w="2250" w:type="dxa"/>
          </w:tcPr>
          <w:p w14:paraId="2447F6EC" w14:textId="0658FE72" w:rsidR="00697A55" w:rsidRPr="000C3F29" w:rsidRDefault="005E57E1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General Population </w:t>
            </w:r>
          </w:p>
        </w:tc>
        <w:tc>
          <w:tcPr>
            <w:tcW w:w="1890" w:type="dxa"/>
          </w:tcPr>
          <w:p w14:paraId="4796BCF1" w14:textId="77777777" w:rsidR="002A5566" w:rsidRDefault="002A5566" w:rsidP="002A55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Billboards: 2,379,992</w:t>
            </w:r>
          </w:p>
          <w:p w14:paraId="77D885C3" w14:textId="68E6FB0C" w:rsidR="002A5566" w:rsidRPr="002A5566" w:rsidRDefault="002A5566" w:rsidP="002A55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Digital: 1,380,035</w:t>
            </w:r>
          </w:p>
        </w:tc>
      </w:tr>
    </w:tbl>
    <w:p w14:paraId="6B163781" w14:textId="77777777" w:rsidR="00697A55" w:rsidRDefault="00697A55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</w:pPr>
    </w:p>
    <w:p w14:paraId="4E5C4965" w14:textId="77777777" w:rsidR="00874F1D" w:rsidRDefault="00874F1D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>Goals and Objectives</w:t>
      </w:r>
    </w:p>
    <w:p w14:paraId="45789982" w14:textId="77777777" w:rsidR="00865D21" w:rsidRDefault="00865D21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65D21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Instructions:</w:t>
      </w: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Please list each goal and objective. Also indicate the rate, percentage</w:t>
      </w:r>
      <w:r w:rsidR="0002056E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or number of change per objective to indicate the final outcome or extent to which goals and objectives were achieved.</w:t>
      </w:r>
    </w:p>
    <w:p w14:paraId="3EA5E6B2" w14:textId="77777777" w:rsidR="00865D21" w:rsidRDefault="00865D21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14:paraId="109BF46E" w14:textId="77777777" w:rsidR="00BC605C" w:rsidRDefault="00697A55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Goal: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</w:p>
    <w:p w14:paraId="7D9005AA" w14:textId="69EEFE3A" w:rsidR="00865D21" w:rsidRDefault="005E57E1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Goal 1: </w:t>
      </w:r>
      <w:r>
        <w:rPr>
          <w:rFonts w:ascii="Times New Roman" w:hAnsi="Times New Roman"/>
          <w:sz w:val="24"/>
          <w:szCs w:val="24"/>
        </w:rPr>
        <w:t xml:space="preserve">To reduce the number of overdoses related to opioid and/or stimulant use by conducting a community scan/mapping to assess community needs and resources and develop targeted activities for targeted areas. </w:t>
      </w:r>
    </w:p>
    <w:p w14:paraId="32829C10" w14:textId="64F96CBA" w:rsidR="005E57E1" w:rsidRPr="008E7818" w:rsidRDefault="005E57E1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Goal 2: </w:t>
      </w:r>
      <w:r>
        <w:rPr>
          <w:rFonts w:ascii="Times New Roman" w:hAnsi="Times New Roman"/>
          <w:sz w:val="24"/>
          <w:szCs w:val="24"/>
        </w:rPr>
        <w:t xml:space="preserve">To increase education and awareness through presentations, media, and printed materials that address substance use as a brain disease and change attitudes and beliefs about substance </w:t>
      </w:r>
      <w:proofErr w:type="spellStart"/>
      <w:r>
        <w:rPr>
          <w:rFonts w:ascii="Times New Roman" w:hAnsi="Times New Roman"/>
          <w:sz w:val="24"/>
          <w:szCs w:val="24"/>
        </w:rPr>
        <w:t>use</w:t>
      </w:r>
      <w:proofErr w:type="spellEnd"/>
      <w:r>
        <w:rPr>
          <w:rFonts w:ascii="Times New Roman" w:hAnsi="Times New Roman"/>
          <w:sz w:val="24"/>
          <w:szCs w:val="24"/>
        </w:rPr>
        <w:t xml:space="preserve"> to reduce stigma.</w:t>
      </w:r>
    </w:p>
    <w:p w14:paraId="19364425" w14:textId="1ECE0A7C" w:rsidR="00697A55" w:rsidRPr="008E7818" w:rsidRDefault="00697A55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Goal Outcome: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="00A942C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Preliminary data for </w:t>
      </w:r>
      <w:r w:rsidR="00551439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ABC</w:t>
      </w:r>
      <w:r w:rsidR="00A942C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County show’s that overdose deaths have increased throughout the pandemic increasing our community’s need for education and awareness. </w:t>
      </w:r>
    </w:p>
    <w:p w14:paraId="51E0FCCF" w14:textId="77777777" w:rsidR="00697A55" w:rsidRPr="008E7818" w:rsidRDefault="00697A55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850"/>
      </w:tblGrid>
      <w:tr w:rsidR="00697A55" w:rsidRPr="008E7818" w14:paraId="40863A43" w14:textId="77777777" w:rsidTr="001E2896">
        <w:trPr>
          <w:tblHeader/>
        </w:trPr>
        <w:tc>
          <w:tcPr>
            <w:tcW w:w="3325" w:type="dxa"/>
          </w:tcPr>
          <w:p w14:paraId="3F4F61F9" w14:textId="77777777" w:rsidR="00697A55" w:rsidRPr="008E7818" w:rsidRDefault="00697A55" w:rsidP="0006684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222A35" w:themeColor="text2" w:themeShade="80"/>
                <w:sz w:val="24"/>
                <w:szCs w:val="24"/>
              </w:rPr>
            </w:pPr>
            <w:r w:rsidRPr="008E7818">
              <w:rPr>
                <w:rFonts w:ascii="Times New Roman" w:eastAsia="Times New Roman" w:hAnsi="Times New Roman"/>
                <w:b/>
                <w:bCs/>
                <w:iCs/>
                <w:color w:val="222A35" w:themeColor="text2" w:themeShade="80"/>
                <w:sz w:val="24"/>
                <w:szCs w:val="24"/>
              </w:rPr>
              <w:t>Objective</w:t>
            </w:r>
          </w:p>
        </w:tc>
        <w:tc>
          <w:tcPr>
            <w:tcW w:w="5850" w:type="dxa"/>
          </w:tcPr>
          <w:p w14:paraId="636E5FF4" w14:textId="77777777" w:rsidR="00697A55" w:rsidRPr="008E7818" w:rsidRDefault="00697A55" w:rsidP="0006684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222A35" w:themeColor="text2" w:themeShade="80"/>
                <w:sz w:val="24"/>
                <w:szCs w:val="24"/>
              </w:rPr>
            </w:pPr>
            <w:r w:rsidRPr="008E7818">
              <w:rPr>
                <w:rFonts w:ascii="Times New Roman" w:eastAsia="Times New Roman" w:hAnsi="Times New Roman"/>
                <w:b/>
                <w:bCs/>
                <w:iCs/>
                <w:color w:val="222A35" w:themeColor="text2" w:themeShade="80"/>
                <w:sz w:val="24"/>
                <w:szCs w:val="24"/>
              </w:rPr>
              <w:t>Objective Outcome</w:t>
            </w:r>
          </w:p>
          <w:p w14:paraId="1C63ECF5" w14:textId="77777777" w:rsidR="00C40A4F" w:rsidRPr="008E7818" w:rsidRDefault="00C40A4F" w:rsidP="00066847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</w:pPr>
            <w:r w:rsidRPr="008E7818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  <w:t>(</w:t>
            </w:r>
            <w:r w:rsidR="00066847" w:rsidRPr="008E7818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  <w:t>Quantify and describe</w:t>
            </w:r>
            <w:r w:rsidRPr="008E7818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  <w:t xml:space="preserve"> the extent to which objective met</w:t>
            </w:r>
            <w:r w:rsidR="00066847" w:rsidRPr="008E7818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  <w:t>.</w:t>
            </w:r>
            <w:r w:rsidRPr="008E7818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0"/>
                <w:szCs w:val="20"/>
              </w:rPr>
              <w:t>)</w:t>
            </w:r>
          </w:p>
        </w:tc>
      </w:tr>
      <w:tr w:rsidR="00722BD6" w:rsidRPr="008E7818" w14:paraId="48EFC99C" w14:textId="77777777" w:rsidTr="00066847">
        <w:tc>
          <w:tcPr>
            <w:tcW w:w="3325" w:type="dxa"/>
          </w:tcPr>
          <w:p w14:paraId="7875EC36" w14:textId="4B11E644" w:rsidR="00722BD6" w:rsidRPr="008E7818" w:rsidRDefault="00722BD6" w:rsidP="00722BD6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 w:rsidRPr="00722BD6">
              <w:rPr>
                <w:rFonts w:ascii="Times New Roman" w:hAnsi="Times New Roman"/>
                <w:bCs/>
                <w:sz w:val="24"/>
                <w:szCs w:val="24"/>
              </w:rPr>
              <w:t>Objective 1a: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Prevention Team and volunteers will complete training related to conducting community scan/mapping, as evidenced by certificates and/or verification of completion.</w:t>
            </w:r>
          </w:p>
        </w:tc>
        <w:tc>
          <w:tcPr>
            <w:tcW w:w="5850" w:type="dxa"/>
          </w:tcPr>
          <w:p w14:paraId="5EF3C595" w14:textId="68264534" w:rsidR="00722BD6" w:rsidRPr="008E7818" w:rsidRDefault="0026398F" w:rsidP="00722BD6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Training related to conducting community scan/mapping was conducted on March 17, 2021 by </w:t>
            </w:r>
            <w:r w:rsidR="00551439"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>Proactive Tools</w:t>
            </w: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. We met with </w:t>
            </w:r>
            <w:r w:rsidR="00551439"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>Proactive Tools</w:t>
            </w: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 monthly for seven months. </w:t>
            </w:r>
          </w:p>
        </w:tc>
      </w:tr>
      <w:tr w:rsidR="00722BD6" w:rsidRPr="008E7818" w14:paraId="6ACA333C" w14:textId="77777777" w:rsidTr="00066847">
        <w:tc>
          <w:tcPr>
            <w:tcW w:w="3325" w:type="dxa"/>
          </w:tcPr>
          <w:p w14:paraId="32162F67" w14:textId="5C5097DA" w:rsidR="00722BD6" w:rsidRPr="008E7818" w:rsidRDefault="00722BD6" w:rsidP="00722BD6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 w:rsidRPr="00722BD6">
              <w:rPr>
                <w:rFonts w:ascii="Times New Roman" w:hAnsi="Times New Roman"/>
                <w:bCs/>
                <w:sz w:val="24"/>
                <w:szCs w:val="24"/>
              </w:rPr>
              <w:t>Objective 1b: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</w:t>
            </w:r>
            <w:r w:rsidRPr="00222B59">
              <w:rPr>
                <w:rFonts w:ascii="Times New Roman" w:hAnsi="Times New Roman"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/>
                <w:sz w:val="24"/>
                <w:szCs w:val="24"/>
              </w:rPr>
              <w:t>Prevention Team</w:t>
            </w:r>
            <w:r w:rsidRPr="00222B59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volunteers</w:t>
            </w:r>
            <w:r w:rsidRPr="00222B59">
              <w:rPr>
                <w:rFonts w:ascii="Times New Roman" w:hAnsi="Times New Roman"/>
                <w:sz w:val="24"/>
                <w:szCs w:val="24"/>
              </w:rPr>
              <w:t xml:space="preserve"> will have completed a community scan/mapping and collected all </w:t>
            </w:r>
            <w:r w:rsidRPr="00222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data for </w:t>
            </w:r>
            <w:r>
              <w:rPr>
                <w:rFonts w:ascii="Times New Roman" w:hAnsi="Times New Roman"/>
                <w:sz w:val="24"/>
                <w:szCs w:val="24"/>
              </w:rPr>
              <w:t>zip</w:t>
            </w:r>
            <w:r w:rsidRPr="00222B59">
              <w:rPr>
                <w:rFonts w:ascii="Times New Roman" w:hAnsi="Times New Roman"/>
                <w:sz w:val="24"/>
                <w:szCs w:val="24"/>
              </w:rPr>
              <w:t xml:space="preserve"> codes 29405 and 29406, as measured by community scan/mapping outcome data.</w:t>
            </w:r>
          </w:p>
        </w:tc>
        <w:tc>
          <w:tcPr>
            <w:tcW w:w="5850" w:type="dxa"/>
          </w:tcPr>
          <w:p w14:paraId="18255212" w14:textId="080B49EC" w:rsidR="00722BD6" w:rsidRPr="008E7818" w:rsidRDefault="00DF2E05" w:rsidP="00DF2E05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lastRenderedPageBreak/>
              <w:t xml:space="preserve">The Prevention Team with the help of </w:t>
            </w:r>
            <w:r w:rsidR="00551439"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>Proactive Tools</w:t>
            </w: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 gathered data and conducted a community survey. 201 community members participated in </w:t>
            </w:r>
            <w:r w:rsidR="00DE096C"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>the survey.</w:t>
            </w:r>
          </w:p>
        </w:tc>
      </w:tr>
      <w:tr w:rsidR="00722BD6" w:rsidRPr="008E7818" w14:paraId="32C3A445" w14:textId="77777777" w:rsidTr="00066847">
        <w:tc>
          <w:tcPr>
            <w:tcW w:w="3325" w:type="dxa"/>
          </w:tcPr>
          <w:p w14:paraId="6A1C7590" w14:textId="298B4566" w:rsidR="00722BD6" w:rsidRPr="008E7818" w:rsidRDefault="00722BD6" w:rsidP="00FE4FCF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 w:rsidRPr="00722BD6">
              <w:rPr>
                <w:rFonts w:ascii="Times New Roman" w:hAnsi="Times New Roman"/>
                <w:bCs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BD6">
              <w:rPr>
                <w:rFonts w:ascii="Times New Roman" w:hAnsi="Times New Roman"/>
                <w:bCs/>
                <w:sz w:val="24"/>
                <w:szCs w:val="24"/>
              </w:rPr>
              <w:t>2a.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BD6">
              <w:rPr>
                <w:rFonts w:ascii="Times New Roman" w:hAnsi="Times New Roman"/>
                <w:bCs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Prevention Team and volunteers will have distributed at least 400 printed materials related to reduction of stigma related to substance use, as measured by information recorded in </w:t>
            </w:r>
            <w:r w:rsidR="00FE4FCF">
              <w:rPr>
                <w:rFonts w:ascii="Times New Roman" w:hAnsi="Times New Roman"/>
                <w:sz w:val="24"/>
                <w:szCs w:val="24"/>
              </w:rPr>
              <w:t>the monthly implementation summaries.</w:t>
            </w:r>
            <w:bookmarkStart w:id="0" w:name="_GoBack"/>
            <w:bookmarkEnd w:id="0"/>
          </w:p>
        </w:tc>
        <w:tc>
          <w:tcPr>
            <w:tcW w:w="5850" w:type="dxa"/>
          </w:tcPr>
          <w:p w14:paraId="60D6FD63" w14:textId="1F318157" w:rsidR="00722BD6" w:rsidRPr="008E7818" w:rsidRDefault="00F950B0" w:rsidP="00722BD6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This objective was not met. </w:t>
            </w:r>
          </w:p>
        </w:tc>
      </w:tr>
      <w:tr w:rsidR="00722BD6" w:rsidRPr="008E7818" w14:paraId="27812BFF" w14:textId="77777777" w:rsidTr="00066847">
        <w:tc>
          <w:tcPr>
            <w:tcW w:w="3325" w:type="dxa"/>
          </w:tcPr>
          <w:p w14:paraId="0B5FA856" w14:textId="5F780FC7" w:rsidR="00722BD6" w:rsidRPr="008E7818" w:rsidRDefault="00722BD6" w:rsidP="00722BD6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 w:rsidRPr="00722BD6">
              <w:rPr>
                <w:rFonts w:ascii="Times New Roman" w:hAnsi="Times New Roman"/>
                <w:bCs/>
                <w:sz w:val="24"/>
                <w:szCs w:val="24"/>
              </w:rPr>
              <w:t>Objective 2b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Prevention Team will work with </w:t>
            </w:r>
            <w:r w:rsidR="00551439">
              <w:rPr>
                <w:rFonts w:ascii="Times New Roman" w:hAnsi="Times New Roman"/>
                <w:sz w:val="24"/>
                <w:szCs w:val="24"/>
              </w:rPr>
              <w:t>ABC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County Communications Coordinator to ensure the upload of at least one social media post weekly, as measured by analytics from social media sites.</w:t>
            </w:r>
          </w:p>
        </w:tc>
        <w:tc>
          <w:tcPr>
            <w:tcW w:w="5850" w:type="dxa"/>
          </w:tcPr>
          <w:p w14:paraId="6FC9B066" w14:textId="1BCD2349" w:rsidR="00722BD6" w:rsidRPr="008E7818" w:rsidRDefault="004E7D82" w:rsidP="00722BD6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The Prevention Team working with the </w:t>
            </w:r>
            <w:r w:rsidR="00551439"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>ABC</w:t>
            </w: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 County Communications Coordinator was able to post four times on the </w:t>
            </w:r>
            <w:r w:rsidR="00551439"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>ABC</w:t>
            </w: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 County Facebook page with </w:t>
            </w:r>
            <w:r w:rsidR="00F950B0"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11,999 followers. </w:t>
            </w:r>
          </w:p>
        </w:tc>
      </w:tr>
      <w:tr w:rsidR="00722BD6" w:rsidRPr="008E7818" w14:paraId="6E9E49C7" w14:textId="77777777" w:rsidTr="00066847">
        <w:tc>
          <w:tcPr>
            <w:tcW w:w="3325" w:type="dxa"/>
          </w:tcPr>
          <w:p w14:paraId="2181A1B1" w14:textId="1B0A6D11" w:rsidR="00722BD6" w:rsidRPr="008E7818" w:rsidRDefault="00722BD6" w:rsidP="00722BD6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 w:rsidRPr="00722BD6">
              <w:rPr>
                <w:rFonts w:ascii="Times New Roman" w:hAnsi="Times New Roman"/>
                <w:bCs/>
                <w:sz w:val="24"/>
                <w:szCs w:val="24"/>
              </w:rPr>
              <w:t>Objective 2c.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 Prevention Team will have at least 500,000 impressions through targeted displays, as measured by analytics collected by </w:t>
            </w:r>
            <w:r w:rsidR="00551439">
              <w:rPr>
                <w:rFonts w:ascii="Times New Roman" w:hAnsi="Times New Roman"/>
                <w:sz w:val="24"/>
                <w:szCs w:val="24"/>
              </w:rPr>
              <w:t>Flagship Media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Outdoors.</w:t>
            </w:r>
          </w:p>
        </w:tc>
        <w:tc>
          <w:tcPr>
            <w:tcW w:w="5850" w:type="dxa"/>
          </w:tcPr>
          <w:p w14:paraId="351B3BED" w14:textId="23898776" w:rsidR="0026398F" w:rsidRDefault="00235654" w:rsidP="002639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total of 2,379,992 people were reached through b</w:t>
            </w:r>
            <w:r w:rsidR="0026398F">
              <w:rPr>
                <w:rFonts w:ascii="Times New Roman" w:eastAsia="Times New Roman" w:hAnsi="Times New Roman"/>
                <w:sz w:val="24"/>
                <w:szCs w:val="24"/>
              </w:rPr>
              <w:t xml:space="preserve">illboard impressions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and a total of 1,380,035 were reached through digital impressions. </w:t>
            </w:r>
          </w:p>
          <w:p w14:paraId="0524C4CB" w14:textId="641D21C5" w:rsidR="00722BD6" w:rsidRPr="008E7818" w:rsidRDefault="00722BD6" w:rsidP="0026398F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722BD6" w:rsidRPr="008E7818" w14:paraId="42A8F077" w14:textId="77777777" w:rsidTr="00066847">
        <w:tc>
          <w:tcPr>
            <w:tcW w:w="3325" w:type="dxa"/>
          </w:tcPr>
          <w:p w14:paraId="58A4DB20" w14:textId="6602E0AF" w:rsidR="00722BD6" w:rsidRDefault="00722BD6" w:rsidP="0072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BD6">
              <w:rPr>
                <w:rFonts w:ascii="Times New Roman" w:hAnsi="Times New Roman"/>
                <w:bCs/>
                <w:sz w:val="24"/>
                <w:szCs w:val="24"/>
              </w:rPr>
              <w:t>Objective 2d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22BD6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Prevention Team will have completed at least 6 presentations in each zip code and demonstrate a 10% increase in education/awareness and change in attitudes and beliefs, as measured by data collected from surveys after presentations.</w:t>
            </w:r>
          </w:p>
        </w:tc>
        <w:tc>
          <w:tcPr>
            <w:tcW w:w="5850" w:type="dxa"/>
          </w:tcPr>
          <w:p w14:paraId="4777313E" w14:textId="38A4C21E" w:rsidR="00722BD6" w:rsidRPr="008E7818" w:rsidRDefault="00F950B0" w:rsidP="00722BD6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  <w:t xml:space="preserve">This objective was not met. </w:t>
            </w:r>
          </w:p>
        </w:tc>
      </w:tr>
    </w:tbl>
    <w:p w14:paraId="498153AC" w14:textId="77777777" w:rsidR="00697A55" w:rsidRPr="008E7818" w:rsidRDefault="00697A55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14:paraId="0173DB69" w14:textId="77777777" w:rsidR="00AF7E3D" w:rsidRPr="008E7818" w:rsidRDefault="0025747E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</w:pPr>
      <w:r w:rsidRPr="008E7818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>Project Narrative</w:t>
      </w:r>
    </w:p>
    <w:p w14:paraId="54B4EA2A" w14:textId="77777777" w:rsidR="0066459C" w:rsidRPr="008E7818" w:rsidRDefault="0066459C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</w:p>
    <w:p w14:paraId="3B882EBE" w14:textId="77777777" w:rsidR="0025747E" w:rsidRPr="008E7818" w:rsidRDefault="0025747E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  <w:t>Accomplishments</w:t>
      </w:r>
    </w:p>
    <w:p w14:paraId="7275FA06" w14:textId="01999092" w:rsidR="0025747E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Please share the great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est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accomplishments the organization experienced 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overall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.</w:t>
      </w:r>
    </w:p>
    <w:p w14:paraId="7B4BD141" w14:textId="77777777" w:rsidR="00261963" w:rsidRPr="008E7818" w:rsidRDefault="00261963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14:paraId="58ADA24F" w14:textId="76C02D29" w:rsidR="00DF2E05" w:rsidRDefault="00DF2E05" w:rsidP="00DF2E05">
      <w:p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 w:rsidRPr="001C01EA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 We worked with </w:t>
      </w:r>
      <w:r w:rsidR="00551439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Flagship Media</w:t>
      </w:r>
      <w:r w:rsidRPr="001C01EA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 Outdoors a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nd reached 1,879,992 more people than we planned with our reducing stigma media campaign. </w:t>
      </w:r>
    </w:p>
    <w:p w14:paraId="6FD25DD3" w14:textId="3F8CE05A" w:rsidR="009D0471" w:rsidRDefault="00AA6370" w:rsidP="00773C83">
      <w:p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lastRenderedPageBreak/>
        <w:t xml:space="preserve">We received technical assistance from </w:t>
      </w:r>
      <w:r w:rsidR="00551439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Proactive Tools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. </w:t>
      </w:r>
      <w:r w:rsidR="00551439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Proactive Tools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 helped us devel</w:t>
      </w:r>
      <w:r w:rsidR="0041293C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op our community survey. We surveyed 201 community members and found:</w:t>
      </w:r>
    </w:p>
    <w:p w14:paraId="1EC03B51" w14:textId="23508898" w:rsidR="009D0471" w:rsidRDefault="00AA6370" w:rsidP="009D0471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The majority (62%) of people surveyed thought that there is great risk in using prescription opioids not prescribed to you and only 6% thought there was no risk. </w:t>
      </w:r>
    </w:p>
    <w:p w14:paraId="6394FA5F" w14:textId="00C76738" w:rsidR="00AA6370" w:rsidRDefault="00AA6370" w:rsidP="009D0471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The majority (66%) of people surveyed thought that there is great risk in using prescription stimulants not prescribed to you and only 5% thought there was no risk. </w:t>
      </w:r>
    </w:p>
    <w:p w14:paraId="7CCF7089" w14:textId="7D760BC0" w:rsidR="00AA6370" w:rsidRPr="009D0471" w:rsidRDefault="00AA6370" w:rsidP="009D0471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52% of people surveyed dispose of their prescription medications.  </w:t>
      </w:r>
    </w:p>
    <w:p w14:paraId="668907C4" w14:textId="77777777" w:rsidR="0066459C" w:rsidRPr="008E7818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14:paraId="31FBE337" w14:textId="77777777" w:rsidR="0066459C" w:rsidRPr="008E7818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14:paraId="274875DF" w14:textId="77777777" w:rsidR="0025747E" w:rsidRPr="008E7818" w:rsidRDefault="0025747E" w:rsidP="0025747E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  <w:t>Challenges</w:t>
      </w:r>
    </w:p>
    <w:p w14:paraId="7653FC2A" w14:textId="31A427D9" w:rsidR="0025747E" w:rsidRPr="00261963" w:rsidRDefault="0066459C" w:rsidP="0025747E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Please share the great</w:t>
      </w:r>
      <w:r w:rsidR="00865D21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est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challenges or barriers the organization experienced 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overall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. Indicate 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how the organization addressed 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each challenge or barrier.</w:t>
      </w:r>
    </w:p>
    <w:p w14:paraId="0EFDC22F" w14:textId="77777777" w:rsidR="0066459C" w:rsidRPr="0066459C" w:rsidRDefault="0066459C" w:rsidP="0025747E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14:paraId="5DBC823C" w14:textId="38A2199A" w:rsidR="00DE096C" w:rsidRDefault="00DE096C" w:rsidP="00DE096C">
      <w:p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 w:rsidRPr="0085355A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Our challenge continues to be the delay in the county process.  Due to this delay, we could not start on time, but </w:t>
      </w:r>
      <w:r w:rsidR="00261963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overall are happy with everything accomplished. </w:t>
      </w:r>
    </w:p>
    <w:p w14:paraId="3DBD0316" w14:textId="172C2A2D" w:rsidR="00261963" w:rsidRDefault="00261963" w:rsidP="00DE096C">
      <w:p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</w:p>
    <w:p w14:paraId="5BF1E359" w14:textId="21F2EC75" w:rsidR="003D3558" w:rsidRDefault="00261963" w:rsidP="003D3558">
      <w:p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Covid-19 </w:t>
      </w:r>
      <w:r w:rsidR="00BC605C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continues to be a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 challenge</w:t>
      </w:r>
      <w:r w:rsidR="00BC605C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.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 </w:t>
      </w:r>
      <w:r w:rsidR="00BC605C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W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e were not able to meet all our </w:t>
      </w:r>
      <w:r w:rsidR="003D3558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objectives, 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we pivoted and put more</w:t>
      </w:r>
      <w:r w:rsidR="00BC605C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 money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 into </w:t>
      </w:r>
      <w:r w:rsidR="00BC605C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our 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media campaign</w:t>
      </w:r>
      <w:r w:rsidR="00BC605C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.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 </w:t>
      </w:r>
    </w:p>
    <w:p w14:paraId="2F923503" w14:textId="213A7D9E" w:rsidR="003D3558" w:rsidRDefault="003D3558" w:rsidP="003D3558">
      <w:p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bookmarkStart w:id="1" w:name="_Hlk82611710"/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With the results of our community survey, we see the need to implement objective 2a and 2d. </w:t>
      </w:r>
    </w:p>
    <w:bookmarkEnd w:id="1"/>
    <w:p w14:paraId="170882B1" w14:textId="77777777" w:rsidR="003D3558" w:rsidRDefault="003D3558" w:rsidP="003D3558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56% of the respondents thought that “lack of knowledge about the dangers of opioid and stimulant misuse” is driving the spikes in overdoses.</w:t>
      </w:r>
    </w:p>
    <w:p w14:paraId="3C8A8888" w14:textId="77777777" w:rsidR="003D3558" w:rsidRDefault="003D3558" w:rsidP="003D3558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While nearly 48% of people thought that sharing medications was a key driver of the spike, only 37% reported having at least a few friends or family members that share their prescription drugs with others or use drugs that were not prescribed to them. </w:t>
      </w:r>
    </w:p>
    <w:p w14:paraId="29A4A725" w14:textId="5B891BC9" w:rsidR="003D3558" w:rsidRDefault="00BC605C" w:rsidP="003D3558">
      <w:p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Our </w:t>
      </w:r>
      <w:r w:rsidR="00B94562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hope is 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to implement objectives 2a and 2d and to use other data collected to guide us in continuing to serve </w:t>
      </w:r>
      <w:r w:rsidR="00551439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ABC</w:t>
      </w: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 County. </w:t>
      </w:r>
    </w:p>
    <w:p w14:paraId="39159B2A" w14:textId="77777777" w:rsidR="00A942C8" w:rsidRDefault="00A942C8" w:rsidP="003D3558">
      <w:p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</w:p>
    <w:p w14:paraId="380F4058" w14:textId="1AD82A70" w:rsidR="0066459C" w:rsidRPr="00A942C8" w:rsidRDefault="00BC605C" w:rsidP="0025747E">
      <w:p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Social media </w:t>
      </w:r>
      <w:r w:rsidR="00A942C8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continues to be a challenge for our department. </w:t>
      </w:r>
      <w:r w:rsidR="00CB5D57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While </w:t>
      </w:r>
      <w:r w:rsidR="00551439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>ABC</w:t>
      </w:r>
      <w:r w:rsidR="00CB5D57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 County has a large following on Facebook we do not always have access to it. </w:t>
      </w:r>
    </w:p>
    <w:p w14:paraId="3C243D72" w14:textId="77777777" w:rsidR="0066459C" w:rsidRPr="0066459C" w:rsidRDefault="0066459C" w:rsidP="0025747E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14:paraId="55561135" w14:textId="77777777" w:rsidR="0066459C" w:rsidRPr="0066459C" w:rsidRDefault="0066459C" w:rsidP="0025747E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  <w:r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  <w:t>Additional Comments</w:t>
      </w:r>
    </w:p>
    <w:p w14:paraId="59BE5EA8" w14:textId="230956C8" w:rsidR="00DF2E05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65D21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Instructions:</w:t>
      </w:r>
      <w:r w:rsidRPr="00D732D6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Please share any additional feedback the organization would like to express.</w:t>
      </w:r>
    </w:p>
    <w:p w14:paraId="38530209" w14:textId="6381E2C4" w:rsidR="00A942C8" w:rsidRDefault="00A942C8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14:paraId="08E56EB2" w14:textId="5568AD32" w:rsidR="00A942C8" w:rsidRPr="00CB5D57" w:rsidRDefault="00A942C8" w:rsidP="00773C83">
      <w:pPr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</w:pPr>
      <w:r w:rsidRPr="00CB5D57">
        <w:rPr>
          <w:rFonts w:ascii="Times New Roman" w:eastAsia="Times New Roman" w:hAnsi="Times New Roman"/>
          <w:bCs/>
          <w:i/>
          <w:color w:val="222A35" w:themeColor="text2" w:themeShade="80"/>
          <w:sz w:val="24"/>
          <w:szCs w:val="24"/>
        </w:rPr>
        <w:t xml:space="preserve">We are grateful for the opportunity and we look forward to continuing to use the data we collected to positively impact our communities. </w:t>
      </w:r>
    </w:p>
    <w:sectPr w:rsidR="00A942C8" w:rsidRPr="00CB5D57" w:rsidSect="008E4412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CB59" w14:textId="77777777" w:rsidR="006C2671" w:rsidRDefault="006C2671" w:rsidP="00251265">
      <w:r>
        <w:separator/>
      </w:r>
    </w:p>
  </w:endnote>
  <w:endnote w:type="continuationSeparator" w:id="0">
    <w:p w14:paraId="5BFBD61E" w14:textId="77777777" w:rsidR="006C2671" w:rsidRDefault="006C2671" w:rsidP="0025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7FDA5" w14:textId="675C3820" w:rsidR="00AB2618" w:rsidRPr="00251265" w:rsidRDefault="006D604E" w:rsidP="00184EB4">
    <w:pPr>
      <w:pStyle w:val="Footer"/>
      <w:spacing w:before="120"/>
    </w:pPr>
    <w:sdt>
      <w:sdtPr>
        <w:id w:val="138846320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B2618" w:rsidRPr="00251265">
              <w:rPr>
                <w:b/>
                <w:bCs/>
                <w:color w:val="00838B"/>
              </w:rPr>
              <w:t xml:space="preserve">Page 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begin"/>
            </w:r>
            <w:r w:rsidR="00AB2618" w:rsidRPr="00251265">
              <w:rPr>
                <w:b/>
                <w:bCs/>
                <w:color w:val="00838B"/>
              </w:rPr>
              <w:instrText xml:space="preserve"> PAGE </w:instrTex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838B"/>
              </w:rPr>
              <w:t>1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end"/>
            </w:r>
            <w:r w:rsidR="00AB2618" w:rsidRPr="00251265">
              <w:rPr>
                <w:b/>
                <w:bCs/>
                <w:color w:val="00838B"/>
              </w:rPr>
              <w:t xml:space="preserve"> of 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begin"/>
            </w:r>
            <w:r w:rsidR="00AB2618" w:rsidRPr="00251265">
              <w:rPr>
                <w:b/>
                <w:bCs/>
                <w:color w:val="00838B"/>
              </w:rPr>
              <w:instrText xml:space="preserve"> NUMPAGES  </w:instrTex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838B"/>
              </w:rPr>
              <w:t>3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end"/>
            </w:r>
          </w:sdtContent>
        </w:sdt>
      </w:sdtContent>
    </w:sdt>
    <w:r w:rsidR="00AB2618">
      <w:tab/>
    </w:r>
    <w:r w:rsidR="00AB2618">
      <w:tab/>
    </w:r>
    <w:r w:rsidR="00AB2618">
      <w:rPr>
        <w:noProof/>
      </w:rPr>
      <w:drawing>
        <wp:inline distT="0" distB="0" distL="0" distR="0" wp14:anchorId="77CA9252" wp14:editId="315C4D66">
          <wp:extent cx="1280160" cy="4206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8134" w14:textId="77777777" w:rsidR="006C2671" w:rsidRDefault="006C2671" w:rsidP="00251265">
      <w:r>
        <w:separator/>
      </w:r>
    </w:p>
  </w:footnote>
  <w:footnote w:type="continuationSeparator" w:id="0">
    <w:p w14:paraId="289ED7F4" w14:textId="77777777" w:rsidR="006C2671" w:rsidRDefault="006C2671" w:rsidP="0025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F6C"/>
    <w:multiLevelType w:val="hybridMultilevel"/>
    <w:tmpl w:val="CB52C2DE"/>
    <w:lvl w:ilvl="0" w:tplc="50A892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36D"/>
    <w:multiLevelType w:val="hybridMultilevel"/>
    <w:tmpl w:val="3CD89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266F1"/>
    <w:multiLevelType w:val="hybridMultilevel"/>
    <w:tmpl w:val="50FA0B1A"/>
    <w:lvl w:ilvl="0" w:tplc="33604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19D"/>
    <w:multiLevelType w:val="hybridMultilevel"/>
    <w:tmpl w:val="717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1246"/>
    <w:multiLevelType w:val="hybridMultilevel"/>
    <w:tmpl w:val="50FA0B1A"/>
    <w:lvl w:ilvl="0" w:tplc="33604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4768"/>
    <w:multiLevelType w:val="hybridMultilevel"/>
    <w:tmpl w:val="330E1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897AC4"/>
    <w:multiLevelType w:val="hybridMultilevel"/>
    <w:tmpl w:val="0F46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21E62"/>
    <w:multiLevelType w:val="hybridMultilevel"/>
    <w:tmpl w:val="7D20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5DFD"/>
    <w:multiLevelType w:val="hybridMultilevel"/>
    <w:tmpl w:val="50FA0B1A"/>
    <w:lvl w:ilvl="0" w:tplc="33604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03E"/>
    <w:multiLevelType w:val="hybridMultilevel"/>
    <w:tmpl w:val="D9CAAC90"/>
    <w:lvl w:ilvl="0" w:tplc="E73EC78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9B4068"/>
    <w:multiLevelType w:val="hybridMultilevel"/>
    <w:tmpl w:val="0C70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1E25"/>
    <w:multiLevelType w:val="hybridMultilevel"/>
    <w:tmpl w:val="680C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6C2B"/>
    <w:multiLevelType w:val="hybridMultilevel"/>
    <w:tmpl w:val="0EDA0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DF6993"/>
    <w:multiLevelType w:val="hybridMultilevel"/>
    <w:tmpl w:val="EDF4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51BC8"/>
    <w:multiLevelType w:val="hybridMultilevel"/>
    <w:tmpl w:val="0784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36B2"/>
    <w:multiLevelType w:val="hybridMultilevel"/>
    <w:tmpl w:val="1B96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A01FD"/>
    <w:multiLevelType w:val="hybridMultilevel"/>
    <w:tmpl w:val="4D9256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550D36"/>
    <w:multiLevelType w:val="hybridMultilevel"/>
    <w:tmpl w:val="F2E6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5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17"/>
  </w:num>
  <w:num w:numId="15">
    <w:abstractNumId w:val="1"/>
  </w:num>
  <w:num w:numId="16">
    <w:abstractNumId w:val="10"/>
  </w:num>
  <w:num w:numId="17">
    <w:abstractNumId w:val="13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88"/>
    <w:rsid w:val="0002056E"/>
    <w:rsid w:val="00021EA5"/>
    <w:rsid w:val="00023F46"/>
    <w:rsid w:val="0002554B"/>
    <w:rsid w:val="00025BA8"/>
    <w:rsid w:val="00035BAF"/>
    <w:rsid w:val="0004100B"/>
    <w:rsid w:val="000475BC"/>
    <w:rsid w:val="000502AB"/>
    <w:rsid w:val="0005569E"/>
    <w:rsid w:val="00061CDD"/>
    <w:rsid w:val="00063906"/>
    <w:rsid w:val="00064AE9"/>
    <w:rsid w:val="00066847"/>
    <w:rsid w:val="000703F9"/>
    <w:rsid w:val="000722AD"/>
    <w:rsid w:val="00075B79"/>
    <w:rsid w:val="0008126A"/>
    <w:rsid w:val="00081F52"/>
    <w:rsid w:val="00087261"/>
    <w:rsid w:val="00093F77"/>
    <w:rsid w:val="000A0598"/>
    <w:rsid w:val="000B7A22"/>
    <w:rsid w:val="000C2AC7"/>
    <w:rsid w:val="000C3474"/>
    <w:rsid w:val="000C4712"/>
    <w:rsid w:val="000C618F"/>
    <w:rsid w:val="000E6DCD"/>
    <w:rsid w:val="000F305B"/>
    <w:rsid w:val="000F7E05"/>
    <w:rsid w:val="00104267"/>
    <w:rsid w:val="001144A3"/>
    <w:rsid w:val="001203C1"/>
    <w:rsid w:val="001253A4"/>
    <w:rsid w:val="00130653"/>
    <w:rsid w:val="00131836"/>
    <w:rsid w:val="00134EC6"/>
    <w:rsid w:val="0014465B"/>
    <w:rsid w:val="001545E5"/>
    <w:rsid w:val="001713C8"/>
    <w:rsid w:val="00173605"/>
    <w:rsid w:val="00184EB4"/>
    <w:rsid w:val="0019079A"/>
    <w:rsid w:val="00192AC4"/>
    <w:rsid w:val="00196DDB"/>
    <w:rsid w:val="00196F8C"/>
    <w:rsid w:val="001A6140"/>
    <w:rsid w:val="001B0B58"/>
    <w:rsid w:val="001B381D"/>
    <w:rsid w:val="001C39E9"/>
    <w:rsid w:val="001D05E9"/>
    <w:rsid w:val="001D06B7"/>
    <w:rsid w:val="001D122E"/>
    <w:rsid w:val="001D5A47"/>
    <w:rsid w:val="001D7668"/>
    <w:rsid w:val="001E20B2"/>
    <w:rsid w:val="001E2896"/>
    <w:rsid w:val="00200C27"/>
    <w:rsid w:val="002141FA"/>
    <w:rsid w:val="00214B40"/>
    <w:rsid w:val="00232025"/>
    <w:rsid w:val="0023512A"/>
    <w:rsid w:val="00235654"/>
    <w:rsid w:val="0023616A"/>
    <w:rsid w:val="00236969"/>
    <w:rsid w:val="00251265"/>
    <w:rsid w:val="00254DB8"/>
    <w:rsid w:val="002558D0"/>
    <w:rsid w:val="0025747E"/>
    <w:rsid w:val="0026020B"/>
    <w:rsid w:val="00260811"/>
    <w:rsid w:val="00260C13"/>
    <w:rsid w:val="00261963"/>
    <w:rsid w:val="00261E00"/>
    <w:rsid w:val="0026398F"/>
    <w:rsid w:val="00263EFB"/>
    <w:rsid w:val="002667AC"/>
    <w:rsid w:val="00276D1D"/>
    <w:rsid w:val="0028380E"/>
    <w:rsid w:val="00285374"/>
    <w:rsid w:val="002A1F51"/>
    <w:rsid w:val="002A5566"/>
    <w:rsid w:val="002B72AA"/>
    <w:rsid w:val="002C0BB1"/>
    <w:rsid w:val="002C1B89"/>
    <w:rsid w:val="002C2D22"/>
    <w:rsid w:val="002C523D"/>
    <w:rsid w:val="002C74FD"/>
    <w:rsid w:val="002D2F4D"/>
    <w:rsid w:val="002E6A6F"/>
    <w:rsid w:val="002F0793"/>
    <w:rsid w:val="00302469"/>
    <w:rsid w:val="00311388"/>
    <w:rsid w:val="00312237"/>
    <w:rsid w:val="003161FE"/>
    <w:rsid w:val="003231C8"/>
    <w:rsid w:val="00323F88"/>
    <w:rsid w:val="0034092C"/>
    <w:rsid w:val="00341F14"/>
    <w:rsid w:val="003600F5"/>
    <w:rsid w:val="003659C0"/>
    <w:rsid w:val="003665A7"/>
    <w:rsid w:val="00374EC6"/>
    <w:rsid w:val="0037795B"/>
    <w:rsid w:val="00385947"/>
    <w:rsid w:val="00394600"/>
    <w:rsid w:val="00396566"/>
    <w:rsid w:val="003A63B2"/>
    <w:rsid w:val="003B2AD5"/>
    <w:rsid w:val="003B3C7E"/>
    <w:rsid w:val="003B6462"/>
    <w:rsid w:val="003C07F1"/>
    <w:rsid w:val="003D3558"/>
    <w:rsid w:val="003E1DF1"/>
    <w:rsid w:val="003E7E12"/>
    <w:rsid w:val="003F6F37"/>
    <w:rsid w:val="00410C85"/>
    <w:rsid w:val="0041201E"/>
    <w:rsid w:val="0041293C"/>
    <w:rsid w:val="00420EEE"/>
    <w:rsid w:val="00481EA7"/>
    <w:rsid w:val="00484C5A"/>
    <w:rsid w:val="004920A1"/>
    <w:rsid w:val="004A2C69"/>
    <w:rsid w:val="004A5997"/>
    <w:rsid w:val="004B0CFC"/>
    <w:rsid w:val="004B0DAF"/>
    <w:rsid w:val="004B0F67"/>
    <w:rsid w:val="004B226C"/>
    <w:rsid w:val="004C6B39"/>
    <w:rsid w:val="004D3D1F"/>
    <w:rsid w:val="004E0CD4"/>
    <w:rsid w:val="004E7D82"/>
    <w:rsid w:val="004F0966"/>
    <w:rsid w:val="004F4169"/>
    <w:rsid w:val="00522507"/>
    <w:rsid w:val="00536523"/>
    <w:rsid w:val="00544A23"/>
    <w:rsid w:val="00551439"/>
    <w:rsid w:val="00552697"/>
    <w:rsid w:val="00554E02"/>
    <w:rsid w:val="00562E19"/>
    <w:rsid w:val="005674F3"/>
    <w:rsid w:val="00584A2E"/>
    <w:rsid w:val="005B2EC7"/>
    <w:rsid w:val="005B3925"/>
    <w:rsid w:val="005B6D35"/>
    <w:rsid w:val="005B77DD"/>
    <w:rsid w:val="005C002A"/>
    <w:rsid w:val="005C686C"/>
    <w:rsid w:val="005C7218"/>
    <w:rsid w:val="005D07D5"/>
    <w:rsid w:val="005D6A1B"/>
    <w:rsid w:val="005E12A2"/>
    <w:rsid w:val="005E57E1"/>
    <w:rsid w:val="005F0A4E"/>
    <w:rsid w:val="005F17EE"/>
    <w:rsid w:val="005F415C"/>
    <w:rsid w:val="0060225C"/>
    <w:rsid w:val="006023A0"/>
    <w:rsid w:val="00604D2E"/>
    <w:rsid w:val="00606C8E"/>
    <w:rsid w:val="006128B1"/>
    <w:rsid w:val="00614030"/>
    <w:rsid w:val="00616C81"/>
    <w:rsid w:val="00620317"/>
    <w:rsid w:val="00623E98"/>
    <w:rsid w:val="00633AF1"/>
    <w:rsid w:val="00634781"/>
    <w:rsid w:val="00642773"/>
    <w:rsid w:val="00643BC9"/>
    <w:rsid w:val="00645FD2"/>
    <w:rsid w:val="00657816"/>
    <w:rsid w:val="00661897"/>
    <w:rsid w:val="0066459C"/>
    <w:rsid w:val="00665DCF"/>
    <w:rsid w:val="00667B5D"/>
    <w:rsid w:val="00685898"/>
    <w:rsid w:val="00696E8F"/>
    <w:rsid w:val="00697A55"/>
    <w:rsid w:val="006A06E1"/>
    <w:rsid w:val="006B3A6E"/>
    <w:rsid w:val="006B567B"/>
    <w:rsid w:val="006B6124"/>
    <w:rsid w:val="006C2444"/>
    <w:rsid w:val="006C2671"/>
    <w:rsid w:val="006D2374"/>
    <w:rsid w:val="006D604E"/>
    <w:rsid w:val="006D6F64"/>
    <w:rsid w:val="006E77D7"/>
    <w:rsid w:val="006F2498"/>
    <w:rsid w:val="006F4E90"/>
    <w:rsid w:val="00704D71"/>
    <w:rsid w:val="007157B5"/>
    <w:rsid w:val="00716B9F"/>
    <w:rsid w:val="00722BD6"/>
    <w:rsid w:val="007240DC"/>
    <w:rsid w:val="007306B1"/>
    <w:rsid w:val="00732591"/>
    <w:rsid w:val="00732614"/>
    <w:rsid w:val="00755478"/>
    <w:rsid w:val="007568E2"/>
    <w:rsid w:val="007733B0"/>
    <w:rsid w:val="00773C83"/>
    <w:rsid w:val="007744BD"/>
    <w:rsid w:val="007805D4"/>
    <w:rsid w:val="00782F97"/>
    <w:rsid w:val="0079210D"/>
    <w:rsid w:val="00797F12"/>
    <w:rsid w:val="007A342F"/>
    <w:rsid w:val="007B567F"/>
    <w:rsid w:val="007C2F81"/>
    <w:rsid w:val="007C61EF"/>
    <w:rsid w:val="007E332B"/>
    <w:rsid w:val="007F120B"/>
    <w:rsid w:val="007F3D0E"/>
    <w:rsid w:val="00803105"/>
    <w:rsid w:val="00811F5A"/>
    <w:rsid w:val="00812291"/>
    <w:rsid w:val="0082205E"/>
    <w:rsid w:val="008245D8"/>
    <w:rsid w:val="00831ABA"/>
    <w:rsid w:val="00845C69"/>
    <w:rsid w:val="00855175"/>
    <w:rsid w:val="00865D21"/>
    <w:rsid w:val="00874F1D"/>
    <w:rsid w:val="00892298"/>
    <w:rsid w:val="0089348D"/>
    <w:rsid w:val="008A607D"/>
    <w:rsid w:val="008B0344"/>
    <w:rsid w:val="008B2612"/>
    <w:rsid w:val="008B3AFA"/>
    <w:rsid w:val="008C0841"/>
    <w:rsid w:val="008C21B3"/>
    <w:rsid w:val="008C29B9"/>
    <w:rsid w:val="008C4214"/>
    <w:rsid w:val="008C471F"/>
    <w:rsid w:val="008C77E9"/>
    <w:rsid w:val="008D5005"/>
    <w:rsid w:val="008E4412"/>
    <w:rsid w:val="008E7818"/>
    <w:rsid w:val="008F0539"/>
    <w:rsid w:val="008F2B08"/>
    <w:rsid w:val="008F3C12"/>
    <w:rsid w:val="00904744"/>
    <w:rsid w:val="009101BD"/>
    <w:rsid w:val="009114C7"/>
    <w:rsid w:val="0091342D"/>
    <w:rsid w:val="00915211"/>
    <w:rsid w:val="00923133"/>
    <w:rsid w:val="009234BC"/>
    <w:rsid w:val="00936666"/>
    <w:rsid w:val="00936A83"/>
    <w:rsid w:val="009370A3"/>
    <w:rsid w:val="00987BBA"/>
    <w:rsid w:val="00990137"/>
    <w:rsid w:val="009A6D6B"/>
    <w:rsid w:val="009A6DB2"/>
    <w:rsid w:val="009B0A3D"/>
    <w:rsid w:val="009B781D"/>
    <w:rsid w:val="009D0471"/>
    <w:rsid w:val="009E46AD"/>
    <w:rsid w:val="009F4C8B"/>
    <w:rsid w:val="009F5504"/>
    <w:rsid w:val="009F56CB"/>
    <w:rsid w:val="00A008BD"/>
    <w:rsid w:val="00A069F7"/>
    <w:rsid w:val="00A10E7A"/>
    <w:rsid w:val="00A267E3"/>
    <w:rsid w:val="00A33A7D"/>
    <w:rsid w:val="00A53B87"/>
    <w:rsid w:val="00A543DD"/>
    <w:rsid w:val="00A74922"/>
    <w:rsid w:val="00A75EC5"/>
    <w:rsid w:val="00A76B8E"/>
    <w:rsid w:val="00A90E51"/>
    <w:rsid w:val="00A92346"/>
    <w:rsid w:val="00A92CD9"/>
    <w:rsid w:val="00A942C8"/>
    <w:rsid w:val="00A97620"/>
    <w:rsid w:val="00AA2913"/>
    <w:rsid w:val="00AA6370"/>
    <w:rsid w:val="00AB2618"/>
    <w:rsid w:val="00AB63E8"/>
    <w:rsid w:val="00AC11F2"/>
    <w:rsid w:val="00AD2199"/>
    <w:rsid w:val="00AD47B2"/>
    <w:rsid w:val="00AE4AEF"/>
    <w:rsid w:val="00AF6447"/>
    <w:rsid w:val="00AF7E3D"/>
    <w:rsid w:val="00B0675B"/>
    <w:rsid w:val="00B0681B"/>
    <w:rsid w:val="00B21FBA"/>
    <w:rsid w:val="00B25798"/>
    <w:rsid w:val="00B25F48"/>
    <w:rsid w:val="00B35040"/>
    <w:rsid w:val="00B3505D"/>
    <w:rsid w:val="00B3654C"/>
    <w:rsid w:val="00B41DC4"/>
    <w:rsid w:val="00B50C99"/>
    <w:rsid w:val="00B56AA3"/>
    <w:rsid w:val="00B62160"/>
    <w:rsid w:val="00B6284E"/>
    <w:rsid w:val="00B8416C"/>
    <w:rsid w:val="00B86773"/>
    <w:rsid w:val="00B92B51"/>
    <w:rsid w:val="00B94562"/>
    <w:rsid w:val="00B94D36"/>
    <w:rsid w:val="00B94F65"/>
    <w:rsid w:val="00BA1788"/>
    <w:rsid w:val="00BA1939"/>
    <w:rsid w:val="00BA5BDD"/>
    <w:rsid w:val="00BC605C"/>
    <w:rsid w:val="00BD6321"/>
    <w:rsid w:val="00BD7ADC"/>
    <w:rsid w:val="00BE7222"/>
    <w:rsid w:val="00BF22CA"/>
    <w:rsid w:val="00C22DD6"/>
    <w:rsid w:val="00C31117"/>
    <w:rsid w:val="00C3637F"/>
    <w:rsid w:val="00C40A4F"/>
    <w:rsid w:val="00C4476B"/>
    <w:rsid w:val="00C53822"/>
    <w:rsid w:val="00C53AD5"/>
    <w:rsid w:val="00C55490"/>
    <w:rsid w:val="00C565A7"/>
    <w:rsid w:val="00C63366"/>
    <w:rsid w:val="00C6338F"/>
    <w:rsid w:val="00C63D23"/>
    <w:rsid w:val="00C64597"/>
    <w:rsid w:val="00C77602"/>
    <w:rsid w:val="00C81D4D"/>
    <w:rsid w:val="00C95432"/>
    <w:rsid w:val="00C97559"/>
    <w:rsid w:val="00CB1E22"/>
    <w:rsid w:val="00CB5D57"/>
    <w:rsid w:val="00CB5D89"/>
    <w:rsid w:val="00CB6B7B"/>
    <w:rsid w:val="00CC03AF"/>
    <w:rsid w:val="00CC127E"/>
    <w:rsid w:val="00CC5D50"/>
    <w:rsid w:val="00CC70A4"/>
    <w:rsid w:val="00CD676C"/>
    <w:rsid w:val="00CD7AE2"/>
    <w:rsid w:val="00D04003"/>
    <w:rsid w:val="00D04147"/>
    <w:rsid w:val="00D16FFF"/>
    <w:rsid w:val="00D214D4"/>
    <w:rsid w:val="00D2750A"/>
    <w:rsid w:val="00D30AF8"/>
    <w:rsid w:val="00D31E50"/>
    <w:rsid w:val="00D33BD4"/>
    <w:rsid w:val="00D41495"/>
    <w:rsid w:val="00D444F4"/>
    <w:rsid w:val="00D51792"/>
    <w:rsid w:val="00D52A9B"/>
    <w:rsid w:val="00D732D6"/>
    <w:rsid w:val="00D85D14"/>
    <w:rsid w:val="00D95B9B"/>
    <w:rsid w:val="00DA7749"/>
    <w:rsid w:val="00DB5426"/>
    <w:rsid w:val="00DB5A10"/>
    <w:rsid w:val="00DC6ADD"/>
    <w:rsid w:val="00DE096C"/>
    <w:rsid w:val="00DF2E05"/>
    <w:rsid w:val="00DF5BC0"/>
    <w:rsid w:val="00E05648"/>
    <w:rsid w:val="00E142C7"/>
    <w:rsid w:val="00E165E4"/>
    <w:rsid w:val="00E20BA8"/>
    <w:rsid w:val="00E21C61"/>
    <w:rsid w:val="00E26312"/>
    <w:rsid w:val="00E26CA8"/>
    <w:rsid w:val="00E27F8F"/>
    <w:rsid w:val="00E30F00"/>
    <w:rsid w:val="00E42F81"/>
    <w:rsid w:val="00E45A73"/>
    <w:rsid w:val="00E5031C"/>
    <w:rsid w:val="00E702EA"/>
    <w:rsid w:val="00E71BC3"/>
    <w:rsid w:val="00E75224"/>
    <w:rsid w:val="00E75D2D"/>
    <w:rsid w:val="00E8690A"/>
    <w:rsid w:val="00E90D75"/>
    <w:rsid w:val="00EA0211"/>
    <w:rsid w:val="00EA15CB"/>
    <w:rsid w:val="00EA452E"/>
    <w:rsid w:val="00EA5768"/>
    <w:rsid w:val="00EB0618"/>
    <w:rsid w:val="00EB2D80"/>
    <w:rsid w:val="00EB521D"/>
    <w:rsid w:val="00EB783F"/>
    <w:rsid w:val="00EC40D5"/>
    <w:rsid w:val="00EC6615"/>
    <w:rsid w:val="00ED5BAF"/>
    <w:rsid w:val="00EE00C6"/>
    <w:rsid w:val="00EE7423"/>
    <w:rsid w:val="00EF0781"/>
    <w:rsid w:val="00EF164B"/>
    <w:rsid w:val="00EF7507"/>
    <w:rsid w:val="00F0613A"/>
    <w:rsid w:val="00F128B8"/>
    <w:rsid w:val="00F26915"/>
    <w:rsid w:val="00F30B1A"/>
    <w:rsid w:val="00F358B0"/>
    <w:rsid w:val="00F43163"/>
    <w:rsid w:val="00F60CA6"/>
    <w:rsid w:val="00F64B81"/>
    <w:rsid w:val="00F656B2"/>
    <w:rsid w:val="00F65D2E"/>
    <w:rsid w:val="00F90527"/>
    <w:rsid w:val="00F950B0"/>
    <w:rsid w:val="00FA1CFE"/>
    <w:rsid w:val="00FA66F5"/>
    <w:rsid w:val="00FA7CCE"/>
    <w:rsid w:val="00FB1A98"/>
    <w:rsid w:val="00FB1F8A"/>
    <w:rsid w:val="00FB674F"/>
    <w:rsid w:val="00FD7BA2"/>
    <w:rsid w:val="00FE2306"/>
    <w:rsid w:val="00FE4FCF"/>
    <w:rsid w:val="00FF1AB4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E29FE3"/>
  <w15:chartTrackingRefBased/>
  <w15:docId w15:val="{3106877B-BB78-4EE4-B68E-9F61A2C2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DC"/>
    <w:pPr>
      <w:ind w:left="720"/>
      <w:contextualSpacing/>
    </w:pPr>
  </w:style>
  <w:style w:type="paragraph" w:customStyle="1" w:styleId="Default">
    <w:name w:val="Default"/>
    <w:rsid w:val="00584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76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D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E44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4412"/>
    <w:rPr>
      <w:rFonts w:eastAsiaTheme="minorEastAsia"/>
    </w:rPr>
  </w:style>
  <w:style w:type="table" w:styleId="GridTable4-Accent1">
    <w:name w:val="Grid Table 4 Accent 1"/>
    <w:basedOn w:val="TableNormal"/>
    <w:uiPriority w:val="49"/>
    <w:rsid w:val="006023A0"/>
    <w:pPr>
      <w:spacing w:after="0" w:line="240" w:lineRule="auto"/>
    </w:pPr>
    <w:tblPr>
      <w:tblStyleRowBandSize w:val="1"/>
      <w:tblStyleColBandSize w:val="1"/>
      <w:tblBorders>
        <w:top w:val="single" w:sz="4" w:space="0" w:color="22B0FD" w:themeColor="accent1" w:themeTint="99"/>
        <w:left w:val="single" w:sz="4" w:space="0" w:color="22B0FD" w:themeColor="accent1" w:themeTint="99"/>
        <w:bottom w:val="single" w:sz="4" w:space="0" w:color="22B0FD" w:themeColor="accent1" w:themeTint="99"/>
        <w:right w:val="single" w:sz="4" w:space="0" w:color="22B0FD" w:themeColor="accent1" w:themeTint="99"/>
        <w:insideH w:val="single" w:sz="4" w:space="0" w:color="22B0FD" w:themeColor="accent1" w:themeTint="99"/>
        <w:insideV w:val="single" w:sz="4" w:space="0" w:color="22B0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5B8C" w:themeColor="accent1"/>
          <w:left w:val="single" w:sz="4" w:space="0" w:color="015B8C" w:themeColor="accent1"/>
          <w:bottom w:val="single" w:sz="4" w:space="0" w:color="015B8C" w:themeColor="accent1"/>
          <w:right w:val="single" w:sz="4" w:space="0" w:color="015B8C" w:themeColor="accent1"/>
          <w:insideH w:val="nil"/>
          <w:insideV w:val="nil"/>
        </w:tcBorders>
        <w:shd w:val="clear" w:color="auto" w:fill="015B8C" w:themeFill="accent1"/>
      </w:tcPr>
    </w:tblStylePr>
    <w:tblStylePr w:type="lastRow">
      <w:rPr>
        <w:b/>
        <w:bCs/>
      </w:rPr>
      <w:tblPr/>
      <w:tcPr>
        <w:tcBorders>
          <w:top w:val="double" w:sz="4" w:space="0" w:color="015B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E" w:themeFill="accent1" w:themeFillTint="33"/>
      </w:tcPr>
    </w:tblStylePr>
    <w:tblStylePr w:type="band1Horz">
      <w:tblPr/>
      <w:tcPr>
        <w:shd w:val="clear" w:color="auto" w:fill="B5E4FE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659C0"/>
    <w:pPr>
      <w:spacing w:after="0" w:line="240" w:lineRule="auto"/>
    </w:pPr>
    <w:tblPr>
      <w:tblStyleRowBandSize w:val="1"/>
      <w:tblStyleColBandSize w:val="1"/>
      <w:tblBorders>
        <w:top w:val="single" w:sz="4" w:space="0" w:color="C9E8A7" w:themeColor="accent5" w:themeTint="99"/>
        <w:left w:val="single" w:sz="4" w:space="0" w:color="C9E8A7" w:themeColor="accent5" w:themeTint="99"/>
        <w:bottom w:val="single" w:sz="4" w:space="0" w:color="C9E8A7" w:themeColor="accent5" w:themeTint="99"/>
        <w:right w:val="single" w:sz="4" w:space="0" w:color="C9E8A7" w:themeColor="accent5" w:themeTint="99"/>
        <w:insideH w:val="single" w:sz="4" w:space="0" w:color="C9E8A7" w:themeColor="accent5" w:themeTint="99"/>
        <w:insideV w:val="single" w:sz="4" w:space="0" w:color="C9E8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D96E" w:themeColor="accent5"/>
          <w:left w:val="single" w:sz="4" w:space="0" w:color="A6D96E" w:themeColor="accent5"/>
          <w:bottom w:val="single" w:sz="4" w:space="0" w:color="A6D96E" w:themeColor="accent5"/>
          <w:right w:val="single" w:sz="4" w:space="0" w:color="A6D96E" w:themeColor="accent5"/>
          <w:insideH w:val="nil"/>
          <w:insideV w:val="nil"/>
        </w:tcBorders>
        <w:shd w:val="clear" w:color="auto" w:fill="A6D96E" w:themeFill="accent5"/>
      </w:tcPr>
    </w:tblStylePr>
    <w:tblStylePr w:type="lastRow">
      <w:rPr>
        <w:b/>
        <w:bCs/>
      </w:rPr>
      <w:tblPr/>
      <w:tcPr>
        <w:tcBorders>
          <w:top w:val="double" w:sz="4" w:space="0" w:color="A6D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E1" w:themeFill="accent5" w:themeFillTint="33"/>
      </w:tcPr>
    </w:tblStylePr>
    <w:tblStylePr w:type="band1Horz">
      <w:tblPr/>
      <w:tcPr>
        <w:shd w:val="clear" w:color="auto" w:fill="EDF7E1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5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6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C DAOD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B8C"/>
      </a:accent1>
      <a:accent2>
        <a:srgbClr val="A6D96E"/>
      </a:accent2>
      <a:accent3>
        <a:srgbClr val="FFB610"/>
      </a:accent3>
      <a:accent4>
        <a:srgbClr val="015B8C"/>
      </a:accent4>
      <a:accent5>
        <a:srgbClr val="A6D96E"/>
      </a:accent5>
      <a:accent6>
        <a:srgbClr val="FFB61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1801 Main Street, 4th Floor, Columbia SC 29201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40941A-CD79-4848-9506-59D5ED27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Prevention SOR 2 Year-End Report</vt:lpstr>
    </vt:vector>
  </TitlesOfParts>
  <Company>SC DAODAS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2021 Prevention SOR 2 Year-End Report</dc:title>
  <dc:subject>ABC Behavioral Health Center Final Report,      December 1, 2020 to September 17, 2021</dc:subject>
  <dc:creator>Division of Prevention and Intervention Services</dc:creator>
  <cp:keywords/>
  <dc:description/>
  <cp:lastModifiedBy>Gordon, Crystal</cp:lastModifiedBy>
  <cp:revision>4</cp:revision>
  <dcterms:created xsi:type="dcterms:W3CDTF">2021-10-22T20:44:00Z</dcterms:created>
  <dcterms:modified xsi:type="dcterms:W3CDTF">2021-10-22T20:47:00Z</dcterms:modified>
</cp:coreProperties>
</file>